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eastAsia="宋体"/>
          <w:b/>
          <w:sz w:val="22"/>
          <w:szCs w:val="22"/>
          <w:lang w:eastAsia="zh-CN"/>
        </w:rPr>
      </w:pPr>
      <w:r>
        <w:rPr>
          <w:rFonts w:ascii="宋体" w:hAnsi="宋体" w:eastAsia="宋体" w:cs="宋体"/>
          <w:b/>
          <w:sz w:val="22"/>
          <w:szCs w:val="22"/>
        </w:rPr>
        <w:t>基本信息</w:t>
      </w:r>
      <w:r>
        <w:rPr>
          <w:rFonts w:hint="eastAsia" w:ascii="宋体" w:hAnsi="宋体" w:eastAsia="宋体" w:cs="宋体"/>
          <w:b/>
          <w:sz w:val="22"/>
          <w:szCs w:val="22"/>
          <w:lang w:eastAsia="zh-CN"/>
        </w:rPr>
        <w:t>一</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7"/>
        <w:gridCol w:w="2501"/>
        <w:gridCol w:w="1667"/>
        <w:gridCol w:w="2501"/>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项目类别</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特定目标类</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项目类型</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可执行项目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1301001150 博物馆免费开放补助资金（提前下达）</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项目期限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起始年份</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分配方式</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去向单位</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联系人</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联系电话</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项目总金额</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3000000.00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其中：社会投入资金</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其中：银行贷款</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是否资产配置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是否追踪</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是否基建项目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是否科研项目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热点分类（主题分类）</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003003009 博物馆、纪念馆免费开发补助和公共美术馆、图书馆、文化馆站免费开放补助</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是否设置使用范围</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财政内部机构</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组合资金来源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21112 一般性转移支付</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资金主管部门</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026 白银市文化广电和旅游局</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项目分类</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 经济事业发展项目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项目概述</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面发挥博物馆的社会价值和文化资源，加强博物馆服务基础设施建设、人员队伍建设。要跟随社会科学发展的脚步，使陈列展示、文化宣传、社会教育功能不断提升，确保参观人数的不断增长；对博物馆现有文物藏品进行高质量的保护和保养，使其文物库房的设施先进完备。</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政策依据</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中宣部、国家财政部、文化部、国家文物局为贯彻《关于全国博物馆、纪念馆免费开放的通知》（中宣发〔2008〕2号）2、国家财政部关于《中央补助地方博物馆纪念馆免费开放专项资金管理暂行办法》（财教〔2013〕97号）3、国家财政部关于印发《中央对地方博物馆 纪念馆免费开放补助资金管理办法》的通知（财教〔2021〕88号）</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部门评审意见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86"/>
        <w:gridCol w:w="586"/>
        <w:gridCol w:w="660"/>
        <w:gridCol w:w="586"/>
        <w:gridCol w:w="586"/>
        <w:gridCol w:w="586"/>
        <w:gridCol w:w="930"/>
        <w:gridCol w:w="586"/>
        <w:gridCol w:w="660"/>
        <w:gridCol w:w="661"/>
        <w:gridCol w:w="661"/>
        <w:gridCol w:w="661"/>
        <w:gridCol w:w="58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项目任务明细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支出标准分类</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计量单位</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计算方式</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支出标准值</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384"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Z011207 2023年博物馆免费开放经费</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暂定标准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元</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定额</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2023年博物馆免费开放经费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89"/>
        <w:gridCol w:w="1389"/>
        <w:gridCol w:w="1389"/>
        <w:gridCol w:w="1389"/>
        <w:gridCol w:w="1390"/>
        <w:gridCol w:w="139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年度</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银行贷款</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社会投入资金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3000000</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项目资产配置</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资产名称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资产数量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设备用途</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资产编制数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资产申请数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触控一体机、相机等设备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A02029900 其他办公设备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文物和陈列品</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A03029900 其他可移动文物</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450000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450000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电气设备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A02061599 其他电源设备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80000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80000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通信设备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A02029900 其他办公设备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视频设备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A02099900 其他广播、电视、电影设备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15000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15000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架子</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A05010699 其他架类</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柜子</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A05010599 其他柜类</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项目存量资产</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资产代码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指标值内容</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指标值类型</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文化服务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履行职责对社会发展所带来的直接或间接影响，用以反映和考核部门履职时效目标的实现程度。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生态环境成本指标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观众参观人次达31万人次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免费参观完成时间</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2023年12月31日完成</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免费参观完成时间</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全省博物馆免费开放绩效考评</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优秀</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全省博物馆免费开放绩效考评</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文化服务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履行职责对社会发展所带来的直接或间接影响，用以反映和考核部门履职时效目标的实现程度。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社会公众或服务对象是指博物馆履行职责而影响到的部门、群体或个人。</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定量</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rPr>
          <w:sz w:val="24"/>
          <w:szCs w:val="24"/>
        </w:rPr>
      </w:pPr>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eastAsia="宋体"/>
          <w:b/>
          <w:sz w:val="22"/>
          <w:szCs w:val="22"/>
          <w:lang w:eastAsia="zh-CN"/>
        </w:rPr>
      </w:pPr>
      <w:r>
        <w:rPr>
          <w:rFonts w:ascii="宋体" w:hAnsi="宋体" w:eastAsia="宋体" w:cs="宋体"/>
          <w:b/>
          <w:sz w:val="22"/>
          <w:szCs w:val="22"/>
        </w:rPr>
        <w:t>基本信息</w:t>
      </w:r>
      <w:r>
        <w:rPr>
          <w:rFonts w:hint="eastAsia" w:ascii="宋体" w:hAnsi="宋体" w:eastAsia="宋体" w:cs="宋体"/>
          <w:b/>
          <w:sz w:val="22"/>
          <w:szCs w:val="22"/>
          <w:lang w:eastAsia="zh-CN"/>
        </w:rPr>
        <w:t>二</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7"/>
        <w:gridCol w:w="2501"/>
        <w:gridCol w:w="1667"/>
        <w:gridCol w:w="2501"/>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项目类别</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特定目标类</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项目类型</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可执行项目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620400176 国家文物保护资金</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项目期限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起始年份</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分配方式</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410018 标准模板</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去向单位</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联系人</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联系电话</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项目总金额</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1130000.00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其中：社会投入资金</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其中：银行贷款</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是否资产配置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是否追踪</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是否基建项目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是否科研项目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热点分类（主题分类）</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是否设置使用范围</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财政内部机构</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组合资金来源</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资金主管部门</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026 白银市文化广电和旅游局</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项目分类</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项目概述</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本项目拟对白银市博物馆馆藏160套162件陶质文物进行修复，其中三级文物155套157件，二级文物5套5件。主要为白银地区新石器时代（齐家文化、马厂类型、马家窑类型、半山类型、辛店文化、仰韶文化等时期）及战国、汉。北魏、宋时期的文物。针对该批文物存在残断、泥土附着物、裂缝、表面附着物、其他附着物、硬结物、剥落等病害，以“保护第一、加强管理、挖掘价值、有效利用、让文物活起来”的文物工作方针为指导，遵循不改变文物原状原则，用两年时间针对每件不同质地文物的病害特征采取相应的保护修复措施。</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政策依据</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根据白银市财政局市财教发[2022]83号文，白银市财政局关于提前下达2023年国家文物保护资金（一般项目）预算的通知。</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部门评审意见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22"/>
        <w:gridCol w:w="623"/>
        <w:gridCol w:w="750"/>
        <w:gridCol w:w="623"/>
        <w:gridCol w:w="623"/>
        <w:gridCol w:w="623"/>
        <w:gridCol w:w="623"/>
        <w:gridCol w:w="623"/>
        <w:gridCol w:w="660"/>
        <w:gridCol w:w="623"/>
        <w:gridCol w:w="660"/>
        <w:gridCol w:w="660"/>
        <w:gridCol w:w="623"/>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项目任务明细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支出标准分类</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计量单位</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计算方式</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支出标准值</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620412 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S0101001 标准模板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暂定标准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定额</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w:t>
            </w:r>
          </w:p>
        </w:tc>
        <w:tc>
          <w:tcPr>
            <w:tcW w:w="384"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国家文物保护资金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89"/>
        <w:gridCol w:w="1389"/>
        <w:gridCol w:w="1389"/>
        <w:gridCol w:w="1389"/>
        <w:gridCol w:w="1390"/>
        <w:gridCol w:w="139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年度</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银行贷款</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社会投入资金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1130000</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项目资产配置</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资产名称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资产数量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设备用途</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资产编制数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资产申请数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喷笔气泵套装（静音）</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A02051999 其他泵</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12000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12000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电导率测定仪</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A02061799 其他生产辅助用电器</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8000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8000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进口高压蒸汽清洗机（进口）</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A02053109 容器清洗机械</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通风配置柜</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A02010601 机柜</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6000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鼓风干燥箱</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A05029900 其他用具</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4000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4000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其他工器具</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A02100899 其他计量仪器</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12800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12800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项目存量资产</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资产代码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指标值内容</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指标值类型</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生态环境成本指标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项目预算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150万元</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定量</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预算控制价</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按设计方案预算价</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定量</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开工率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98%</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成本控制率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98%</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“四有”工作实现率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项目验收合格率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98%</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项目开工时间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按规定</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资金到位率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按规定</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工程启动率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98%</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可移动文物保护项目数（个）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160套(162件)陶质文物</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个</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年度参观人数增加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文物安全得到保证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比上一年度提升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文物保存得到改善</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对文物进行保护修复后，文物病害得到有效控制，延长文物的寿命，填补了馆藏展线珍贵文物的空白。提升了展览的艺术、教育、借鉴和科学研究价值。体现了保护为主，合理利用的核心理想。</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提高全国文物保护水平与全民文物保护意识</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提高大众对文物保护的意识和对传统文化的认知，体现了文物是历史载体的重要意义。</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参观人员满意度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90%</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保护单位对文物保护满意度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90%</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社会公众对文物保护满意度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90%</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eastAsia="宋体"/>
          <w:b/>
          <w:bCs/>
          <w:sz w:val="22"/>
          <w:szCs w:val="22"/>
          <w:lang w:eastAsia="zh-CN"/>
        </w:rPr>
      </w:pPr>
      <w:r>
        <w:rPr>
          <w:rFonts w:ascii="宋体" w:hAnsi="宋体" w:eastAsia="宋体" w:cs="宋体"/>
          <w:b/>
          <w:bCs/>
          <w:sz w:val="22"/>
          <w:szCs w:val="22"/>
        </w:rPr>
        <w:t>基本信息</w:t>
      </w:r>
      <w:r>
        <w:rPr>
          <w:rFonts w:hint="eastAsia" w:ascii="宋体" w:hAnsi="宋体" w:eastAsia="宋体" w:cs="宋体"/>
          <w:b/>
          <w:bCs/>
          <w:sz w:val="22"/>
          <w:szCs w:val="22"/>
          <w:lang w:eastAsia="zh-CN"/>
        </w:rPr>
        <w:t>三</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7"/>
        <w:gridCol w:w="2501"/>
        <w:gridCol w:w="1667"/>
        <w:gridCol w:w="2501"/>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项目类别</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特定目标类</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项目类型</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可执行项目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1301001146 公共文化服务体系建设（提前下达一般项目博物馆）</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项目期限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起始年份</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分配方式</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去向单位</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联系人</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联系电话</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项目总金额</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100000.00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其中：社会投入资金</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其中：银行贷款</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是否资产配置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是否追踪</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是否基建项目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是否科研项目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热点分类（主题分类）</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是否设置使用范围</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财政内部机构</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组合资金来源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21112 一般性转移支付</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资金主管部门</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026 白银市文化广电和旅游局</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项目分类</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 经济事业发展项目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项目概述</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白银历史文化资源数据库建设系统升级维护项目，涉及系统《建制沿革》、《田野文物》等6大板块120个项目升级维护、馆藏精品文创开发。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政策依据</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2023年市财教[2023]5号文</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部门评审意见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sz w:val="22"/>
          <w:szCs w:val="22"/>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21"/>
        <w:gridCol w:w="621"/>
        <w:gridCol w:w="660"/>
        <w:gridCol w:w="621"/>
        <w:gridCol w:w="621"/>
        <w:gridCol w:w="621"/>
        <w:gridCol w:w="840"/>
        <w:gridCol w:w="621"/>
        <w:gridCol w:w="622"/>
        <w:gridCol w:w="622"/>
        <w:gridCol w:w="622"/>
        <w:gridCol w:w="622"/>
        <w:gridCol w:w="62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项目任务明细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支出标准分类</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计量单位</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计算方式</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支出标准值</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384"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Z011215 2023年中央公共文化服务补助资金</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暂定标准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元</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定额</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2023年中央公共文化服务补助资金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sz w:val="22"/>
          <w:szCs w:val="22"/>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89"/>
        <w:gridCol w:w="1389"/>
        <w:gridCol w:w="1389"/>
        <w:gridCol w:w="1389"/>
        <w:gridCol w:w="1390"/>
        <w:gridCol w:w="139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年度</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银行贷款</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社会投入资金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100000</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sz w:val="22"/>
          <w:szCs w:val="22"/>
        </w:rPr>
        <w:t>项目存量资产</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资产代码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sz w:val="22"/>
          <w:szCs w:val="22"/>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指标值内容</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指标值类型</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生态环境成本指标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观众参观人次达31万人次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完成时间</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2023年12月31日</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2023年底完成</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系统升级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良好</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系统升级良好</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文化服务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履行职责对社会发展所带来的直接或间接影响，用以反映和考核部门履职时效目标的实现程度。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社会公众或服务对象是指博物馆履行职责而影响到的部门、群体或个人。</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rPr>
          <w:sz w:val="24"/>
          <w:szCs w:val="24"/>
        </w:rPr>
      </w:pPr>
    </w:p>
    <w:p/>
    <w:p/>
    <w:p/>
    <w:p/>
    <w:p/>
    <w:p/>
    <w:p/>
    <w:p/>
    <w:p/>
    <w:p/>
    <w:p/>
    <w:p/>
    <w:p/>
    <w:p/>
    <w:p/>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eastAsia="宋体"/>
          <w:b/>
          <w:sz w:val="22"/>
          <w:szCs w:val="22"/>
          <w:lang w:val="en-US" w:eastAsia="zh-CN"/>
        </w:rPr>
      </w:pPr>
      <w:r>
        <w:rPr>
          <w:rFonts w:ascii="宋体" w:hAnsi="宋体" w:eastAsia="宋体" w:cs="宋体"/>
          <w:b/>
          <w:sz w:val="22"/>
          <w:szCs w:val="22"/>
        </w:rPr>
        <w:t>基本信息</w:t>
      </w:r>
      <w:r>
        <w:rPr>
          <w:rFonts w:hint="eastAsia" w:ascii="宋体" w:hAnsi="宋体" w:eastAsia="宋体" w:cs="宋体"/>
          <w:b/>
          <w:sz w:val="22"/>
          <w:szCs w:val="22"/>
          <w:lang w:eastAsia="zh-CN"/>
        </w:rPr>
        <w:t>四</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7"/>
        <w:gridCol w:w="2501"/>
        <w:gridCol w:w="1667"/>
        <w:gridCol w:w="2501"/>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项目类别</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特定目标类</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项目类型</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可执行项目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1301000846 基层公共文化设施免费开放补助资金（博物馆）</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项目期限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起始年份</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分配方式</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去向单位</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联系人</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联系电话</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项目总金额</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50000.00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其中：社会投入资金</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其中：银行贷款</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是否资产配置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是否追踪</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是否基建项目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是否科研项目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热点分类（主题分类）</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是否设置使用范围</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财政内部机构</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组合资金来源</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0105 教科文科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资金主管部门</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026 白银市文化广电和旅游局</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项目分类</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 经济事业发展项目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项目概述</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面发挥博物馆的社会价值和文化资源，加强博物馆服务基础设施建设、人员队伍建设。要跟随社会科学发展的脚步，使陈列展示、文化宣传、社会教育功能不断提升，确保参观人数的不断增长；对博物馆现有文物藏品进行高质量的保护和保养，使其文物库房的设施先进完备。</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政策依据</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中宣部、国家财政部、文化部、国家文物局为贯彻《关于全国博物馆、纪念馆免费开放的通知》（中宣发〔2008〕2号）2、国家财政部关于《中央补助地方博物馆纪念馆免费开放专项资金管理暂行办法》（财教〔2013〕97号）3、国家财政部关于印发《中央对地方博物馆 纪念馆免费开放补助资金管理办法》的通知（财教〔2021〕88号）</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部门评审意见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财政评审意见</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2"/>
        <w:gridCol w:w="632"/>
        <w:gridCol w:w="632"/>
        <w:gridCol w:w="632"/>
        <w:gridCol w:w="632"/>
        <w:gridCol w:w="632"/>
        <w:gridCol w:w="750"/>
        <w:gridCol w:w="632"/>
        <w:gridCol w:w="632"/>
        <w:gridCol w:w="632"/>
        <w:gridCol w:w="632"/>
        <w:gridCol w:w="633"/>
        <w:gridCol w:w="633"/>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编报模板</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项目任务明细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支出标准分类</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计量单位</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计算方式</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支出标准值</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计量数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单价</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 标准模板</w:t>
            </w:r>
          </w:p>
        </w:tc>
        <w:tc>
          <w:tcPr>
            <w:tcW w:w="384"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Z01889 基层公共文化设施免费开放补助资金（博物馆）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 暂定标准</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元</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定额</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1</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38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基层公共文化设施免费开放补助资金（博物馆）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89"/>
        <w:gridCol w:w="1389"/>
        <w:gridCol w:w="1389"/>
        <w:gridCol w:w="1389"/>
        <w:gridCol w:w="1390"/>
        <w:gridCol w:w="139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年度</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总金额</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申报数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审核数</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银行贷款</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社会投入资金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50000</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项目存量资产</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资产分类</w:t>
            </w:r>
          </w:p>
        </w:tc>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资产代码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sz w:val="22"/>
          <w:szCs w:val="22"/>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1042"/>
        <w:gridCol w:w="1042"/>
        <w:gridCol w:w="1042"/>
        <w:gridCol w:w="1042"/>
        <w:gridCol w:w="1042"/>
        <w:gridCol w:w="1042"/>
        <w:gridCol w:w="104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指标值内容</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指标值类型</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 xml:space="preserve">文化服务 </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履行职责对社会发展所带来的直接或间接影响，用以反映和考核部门履职时效目标的实现程度。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生态环境成本指标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观众参观人次达31万人次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人次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免费参观完成时间</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2023年12月31日完成</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免费参观完成时间</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全省博物馆免费开放绩效考评</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优秀</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全省博物馆免费开放绩效考评</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经济效益指标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文化服务</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履行职责对社会发展所带来的直接或间接影响，用以反映和考核部门履职时效目标的实现程度。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18"/>
                <w:szCs w:val="18"/>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生态效益指标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无</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定性</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服务对象满意度指标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观众满意度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社会公众或服务对象是指博物馆履行职责而影响到的部门、群体或个人。</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sz w:val="18"/>
                <w:szCs w:val="18"/>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18"/>
                <w:szCs w:val="18"/>
              </w:rPr>
            </w:pPr>
          </w:p>
        </w:tc>
      </w:tr>
    </w:tbl>
    <w:p>
      <w:pPr>
        <w:rPr>
          <w:sz w:val="24"/>
          <w:szCs w:val="24"/>
        </w:rPr>
      </w:pPr>
    </w:p>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I4YTA4NTVlMDkwNGE3NmNjNWU3OTFkZjQyMzQifQ=="/>
  </w:docVars>
  <w:rsids>
    <w:rsidRoot w:val="00000000"/>
    <w:rsid w:val="01C20BC1"/>
    <w:rsid w:val="154A2F50"/>
    <w:rsid w:val="365920F9"/>
    <w:rsid w:val="47C9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2023-04-27T07:26:38Z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B6768793A3904598BD7F7B0207417C7F_12</vt:lpwstr>
  </property>
</Properties>
</file>